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DB" w:rsidRDefault="00231823">
      <w:pPr>
        <w:spacing w:before="89"/>
        <w:ind w:left="118"/>
        <w:rPr>
          <w:b/>
          <w:sz w:val="32"/>
        </w:rPr>
      </w:pPr>
      <w:bookmarkStart w:id="0" w:name="_GoBack"/>
      <w:bookmarkEnd w:id="0"/>
      <w:r>
        <w:rPr>
          <w:b/>
          <w:color w:val="1F487C"/>
          <w:sz w:val="32"/>
        </w:rPr>
        <w:t>Confidential Disclosure Agreement</w:t>
      </w:r>
      <w:r w:rsidR="00E84FC7">
        <w:rPr>
          <w:b/>
          <w:noProof/>
          <w:color w:val="1F487C"/>
          <w:sz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partage.envt.fr/service/home/~/?auth=co&amp;loc=fr&amp;id=105818&amp;part=2.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55E40" id="AutoShape 1" o:spid="_x0000_s1026" alt="https://partage.envt.fr/service/home/~/?auth=co&amp;loc=fr&amp;id=105818&amp;part=2.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Vw7AIAABUGAAAOAAAAZHJzL2Uyb0RvYy54bWysVFtv0zAUfkfiP1h+4C3NZWmbhKXT1jQI&#10;acCkwQ9wHaexSOxgu80Ggt/OsdN27faCgDxY5+J85/b5XF49dC3aMaW5FDkOJwFGTFBZcbHJ8ZfP&#10;pZdgpA0RFWmlYDl+ZBpfLV6/uhz6jEWykW3FFAIQobOhz3FjTJ/5vqYN64ieyJ4JcNZSdcSAqjZ+&#10;pcgA6F3rR0Ew8wepql5JyrQGazE68cLh1zWj5lNda2ZQm2PIzbhTuXNtT39xSbKNIn3D6T4N8hdZ&#10;dIQLCHqEKoghaKv4C6iOUyW1rM2Eys6Xdc0pczVANWHwrJr7hvTM1QLN0f2xTfr/wdKPuzuFeAWz&#10;w0iQDkZ0vTXSRUZgqpim0C47Fg1z6YkyZMMmTOzMpFa+ZmpnK2hkx/xf/hXZmian8g3p+retpHmt&#10;nAj4YTBNwsRpFiSPJhe2+QPAQg73/Z2y7dP9raRfNRJy2RCxYde6hxGOyR1MSsmhYaSCLoQWwj/D&#10;sIoGNLQePsgKyoGUpBvNQ606GwOajh4cAx6PDGAPBlEwXgRxEgBPKLj2so1AssPPvdLmHZMdskKO&#10;FWTnwMnuVpvx6uGKjSVkydsW7CRrxZkBMEcLhIZfrc8m4TjzIw3SVbJKYi+OZisvDorCuy6XsTcr&#10;w/m0uCiWyyL8aeOGcdbwqmLChjnwN4z/jB/7lzQy78hgLVteWTibklab9bJVaEfg/ZTucy0Hz9M1&#10;/zwN1y+o5VlJYRQHN1HqlbNk7sVlPPXSeZB4QZjepLMgTuOiPC/plgv27yWhIcfpNJq6KZ0k/ay2&#10;wH0vayNZxw1sqJZ3OQZqwGcvkcwycCUqJxvC21E+aYVN/6kVMO7DoB1fLUVH9q9l9Qh0VRLoBMyD&#10;XQpCI9V3jAbYSznW37ZEMYza9wIon4ZxbBeZU+LpPAJFnXrWpx4iKEDl2GA0ikszLr9tr/imgUih&#10;a4yQ9tXX3FHYPqExq/3jgt3jKtnvSbvcTnV362mb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S+VcOwCAAAV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9934DB" w:rsidRDefault="009934DB">
      <w:pPr>
        <w:pStyle w:val="Corpsdetexte"/>
        <w:spacing w:before="4"/>
        <w:rPr>
          <w:b/>
          <w:sz w:val="20"/>
        </w:rPr>
      </w:pPr>
    </w:p>
    <w:p w:rsidR="009934DB" w:rsidRDefault="00231823" w:rsidP="00231823">
      <w:pPr>
        <w:tabs>
          <w:tab w:val="left" w:pos="5467"/>
        </w:tabs>
        <w:spacing w:before="56"/>
        <w:ind w:left="284" w:right="277" w:hanging="3"/>
      </w:pPr>
      <w:r>
        <w:t>This Agreement is entered into</w:t>
      </w:r>
      <w:r>
        <w:rPr>
          <w:spacing w:val="-5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(the ‘</w:t>
      </w:r>
      <w:r>
        <w:rPr>
          <w:i/>
        </w:rPr>
        <w:t>Effective Date</w:t>
      </w:r>
      <w:r>
        <w:t>’) by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between </w:t>
      </w:r>
      <w:r>
        <w:rPr>
          <w:b/>
        </w:rPr>
        <w:t xml:space="preserve">The ECVCP </w:t>
      </w:r>
      <w:r>
        <w:t>and</w:t>
      </w:r>
    </w:p>
    <w:p w:rsidR="009934DB" w:rsidRDefault="00231823">
      <w:pPr>
        <w:pStyle w:val="Corpsdetexte"/>
        <w:tabs>
          <w:tab w:val="left" w:pos="5312"/>
        </w:tabs>
        <w:spacing w:line="266" w:lineRule="exact"/>
        <w:ind w:left="2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(Surname)</w:t>
      </w:r>
    </w:p>
    <w:p w:rsidR="009934DB" w:rsidRDefault="00231823">
      <w:pPr>
        <w:pStyle w:val="Corpsdetexte"/>
        <w:tabs>
          <w:tab w:val="left" w:pos="5312"/>
        </w:tabs>
        <w:ind w:left="2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(First</w:t>
      </w:r>
      <w:r>
        <w:rPr>
          <w:spacing w:val="-1"/>
        </w:rPr>
        <w:t xml:space="preserve"> </w:t>
      </w:r>
      <w:r>
        <w:t>name)</w:t>
      </w:r>
    </w:p>
    <w:p w:rsidR="009934DB" w:rsidRDefault="00231823">
      <w:pPr>
        <w:pStyle w:val="Corpsdetexte"/>
        <w:tabs>
          <w:tab w:val="left" w:pos="5312"/>
        </w:tabs>
        <w:ind w:left="2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(Street &amp; house</w:t>
      </w:r>
      <w:r>
        <w:rPr>
          <w:spacing w:val="-8"/>
        </w:rPr>
        <w:t xml:space="preserve"> </w:t>
      </w:r>
      <w:r>
        <w:t>no.)</w:t>
      </w:r>
    </w:p>
    <w:p w:rsidR="009934DB" w:rsidRDefault="00231823">
      <w:pPr>
        <w:pStyle w:val="Corpsdetexte"/>
        <w:tabs>
          <w:tab w:val="left" w:pos="5312"/>
        </w:tabs>
        <w:ind w:left="2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(Post code &amp;</w:t>
      </w:r>
      <w:r>
        <w:rPr>
          <w:spacing w:val="-5"/>
        </w:rPr>
        <w:t xml:space="preserve"> </w:t>
      </w:r>
      <w:r>
        <w:t>town)</w:t>
      </w:r>
    </w:p>
    <w:p w:rsidR="009934DB" w:rsidRDefault="00231823">
      <w:pPr>
        <w:tabs>
          <w:tab w:val="left" w:pos="5312"/>
        </w:tabs>
        <w:ind w:left="2639" w:right="2633" w:hanging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(Country) (hereinafter referred to as ‘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Contributor</w:t>
      </w:r>
      <w:r>
        <w:t>’).</w:t>
      </w:r>
    </w:p>
    <w:p w:rsidR="009934DB" w:rsidRDefault="009934DB">
      <w:pPr>
        <w:pStyle w:val="Corpsdetexte"/>
        <w:spacing w:before="1"/>
      </w:pPr>
    </w:p>
    <w:p w:rsidR="009934DB" w:rsidRDefault="00231823">
      <w:pPr>
        <w:pStyle w:val="Corpsdetexte"/>
        <w:ind w:left="118" w:right="110"/>
        <w:jc w:val="both"/>
      </w:pPr>
      <w:r>
        <w:t>For the purposes of the foregoing (e.g. committee meetings, exams, etc.) it shall be necessary for The ECVCP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Contributor</w:t>
      </w:r>
      <w:r>
        <w:rPr>
          <w:spacing w:val="-16"/>
        </w:rPr>
        <w:t xml:space="preserve"> </w:t>
      </w:r>
      <w:r>
        <w:t>certain</w:t>
      </w:r>
      <w:r>
        <w:rPr>
          <w:spacing w:val="-15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(ECVCP</w:t>
      </w:r>
      <w:r>
        <w:rPr>
          <w:spacing w:val="-16"/>
        </w:rPr>
        <w:t xml:space="preserve"> </w:t>
      </w:r>
      <w:r>
        <w:t>exam</w:t>
      </w:r>
      <w:r>
        <w:rPr>
          <w:spacing w:val="-13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answers)</w:t>
      </w:r>
      <w:r>
        <w:rPr>
          <w:spacing w:val="-15"/>
        </w:rPr>
        <w:t xml:space="preserve"> </w:t>
      </w:r>
      <w:r>
        <w:t>which it considers to be of a confidential nature. The ECVCP exam for obtaining Diplomate status is based on a database of questions, whose contents and character are prepared and reviewed by the Examination Committee. Maintenance of a secure database is essential to ensure fairness for the examination of future candidates. Therefore, it is agreed as</w:t>
      </w:r>
      <w:r>
        <w:rPr>
          <w:spacing w:val="-18"/>
        </w:rPr>
        <w:t xml:space="preserve"> </w:t>
      </w:r>
      <w:r>
        <w:t>follows:</w:t>
      </w:r>
    </w:p>
    <w:p w:rsidR="009934DB" w:rsidRDefault="009934DB">
      <w:pPr>
        <w:pStyle w:val="Corpsdetexte"/>
        <w:spacing w:before="3"/>
      </w:pPr>
    </w:p>
    <w:p w:rsidR="009934DB" w:rsidRDefault="00231823">
      <w:pPr>
        <w:pStyle w:val="Paragraphedeliste"/>
        <w:numPr>
          <w:ilvl w:val="0"/>
          <w:numId w:val="1"/>
        </w:numPr>
        <w:tabs>
          <w:tab w:val="left" w:pos="550"/>
          <w:tab w:val="left" w:pos="551"/>
        </w:tabs>
        <w:spacing w:line="234" w:lineRule="exact"/>
        <w:rPr>
          <w:rFonts w:ascii="Cambria"/>
          <w:b/>
          <w:sz w:val="20"/>
        </w:rPr>
      </w:pPr>
      <w:r>
        <w:rPr>
          <w:rFonts w:ascii="Cambria"/>
          <w:b/>
          <w:color w:val="365F91"/>
          <w:sz w:val="20"/>
        </w:rPr>
        <w:t>DEFINITIONS</w:t>
      </w:r>
    </w:p>
    <w:p w:rsidR="009934DB" w:rsidRDefault="00231823">
      <w:pPr>
        <w:pStyle w:val="Paragraphedeliste"/>
        <w:numPr>
          <w:ilvl w:val="1"/>
          <w:numId w:val="1"/>
        </w:numPr>
        <w:tabs>
          <w:tab w:val="left" w:pos="694"/>
          <w:tab w:val="left" w:pos="695"/>
        </w:tabs>
        <w:spacing w:line="268" w:lineRule="exact"/>
      </w:pPr>
      <w:r>
        <w:t>‘Confidentiality Period’ shall mean the period of thirty (30) years from the Effective</w:t>
      </w:r>
      <w:r>
        <w:rPr>
          <w:spacing w:val="-31"/>
        </w:rPr>
        <w:t xml:space="preserve"> </w:t>
      </w:r>
      <w:r>
        <w:t>Date;</w:t>
      </w:r>
    </w:p>
    <w:p w:rsidR="009934DB" w:rsidRDefault="00231823">
      <w:pPr>
        <w:pStyle w:val="Paragraphedeliste"/>
        <w:numPr>
          <w:ilvl w:val="1"/>
          <w:numId w:val="1"/>
        </w:numPr>
        <w:tabs>
          <w:tab w:val="left" w:pos="694"/>
          <w:tab w:val="left" w:pos="695"/>
        </w:tabs>
        <w:spacing w:before="2" w:line="237" w:lineRule="auto"/>
        <w:ind w:right="112"/>
      </w:pPr>
      <w:r>
        <w:t>‘Information’ shall mean all visual, oral, written and/or electronic information and data, materials or know-how directly related to ECVCP exam questions and</w:t>
      </w:r>
      <w:r>
        <w:rPr>
          <w:spacing w:val="-17"/>
        </w:rPr>
        <w:t xml:space="preserve"> </w:t>
      </w:r>
      <w:r>
        <w:t>answers.</w:t>
      </w:r>
    </w:p>
    <w:p w:rsidR="009934DB" w:rsidRDefault="009934DB">
      <w:pPr>
        <w:pStyle w:val="Corpsdetexte"/>
        <w:spacing w:before="3"/>
      </w:pPr>
    </w:p>
    <w:p w:rsidR="009934DB" w:rsidRDefault="00231823">
      <w:pPr>
        <w:pStyle w:val="Paragraphedeliste"/>
        <w:numPr>
          <w:ilvl w:val="0"/>
          <w:numId w:val="1"/>
        </w:numPr>
        <w:tabs>
          <w:tab w:val="left" w:pos="550"/>
          <w:tab w:val="left" w:pos="551"/>
        </w:tabs>
        <w:spacing w:line="234" w:lineRule="exact"/>
        <w:rPr>
          <w:rFonts w:ascii="Cambria"/>
          <w:b/>
          <w:sz w:val="20"/>
        </w:rPr>
      </w:pPr>
      <w:r>
        <w:rPr>
          <w:rFonts w:ascii="Cambria"/>
          <w:b/>
          <w:color w:val="365F91"/>
          <w:sz w:val="20"/>
        </w:rPr>
        <w:t>CONFIDENTIALITY</w:t>
      </w:r>
    </w:p>
    <w:p w:rsidR="009934DB" w:rsidRDefault="00231823">
      <w:pPr>
        <w:pStyle w:val="Paragraphedeliste"/>
        <w:numPr>
          <w:ilvl w:val="1"/>
          <w:numId w:val="1"/>
        </w:numPr>
        <w:tabs>
          <w:tab w:val="left" w:pos="694"/>
          <w:tab w:val="left" w:pos="695"/>
        </w:tabs>
        <w:spacing w:line="268" w:lineRule="exact"/>
        <w:ind w:left="697" w:hanging="579"/>
      </w:pPr>
      <w:r>
        <w:t xml:space="preserve">The Contributor agrees, for the duration of the </w:t>
      </w:r>
      <w:r>
        <w:rPr>
          <w:i/>
        </w:rPr>
        <w:t>Confidentiality</w:t>
      </w:r>
      <w:r>
        <w:rPr>
          <w:i/>
          <w:spacing w:val="-16"/>
        </w:rPr>
        <w:t xml:space="preserve"> </w:t>
      </w:r>
      <w:r>
        <w:rPr>
          <w:i/>
        </w:rPr>
        <w:t>Period</w:t>
      </w:r>
      <w:r>
        <w:t>:</w:t>
      </w:r>
    </w:p>
    <w:p w:rsidR="009934DB" w:rsidRDefault="00231823">
      <w:pPr>
        <w:pStyle w:val="Paragraphedeliste"/>
        <w:numPr>
          <w:ilvl w:val="2"/>
          <w:numId w:val="1"/>
        </w:numPr>
        <w:tabs>
          <w:tab w:val="left" w:pos="838"/>
          <w:tab w:val="left" w:pos="839"/>
        </w:tabs>
        <w:spacing w:before="2"/>
        <w:ind w:right="116"/>
        <w:rPr>
          <w:b/>
          <w:sz w:val="20"/>
        </w:rPr>
      </w:pPr>
      <w:r>
        <w:rPr>
          <w:b/>
          <w:sz w:val="20"/>
        </w:rPr>
        <w:t>in case of being a candidate NOT to discuss any questions of the exam with other candidates BEFORE all ANSWER SHEETS have been turned in to the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proctor.</w:t>
      </w:r>
    </w:p>
    <w:p w:rsidR="009934DB" w:rsidRDefault="00231823">
      <w:pPr>
        <w:pStyle w:val="Paragraphedeliste"/>
        <w:numPr>
          <w:ilvl w:val="2"/>
          <w:numId w:val="1"/>
        </w:numPr>
        <w:tabs>
          <w:tab w:val="left" w:pos="838"/>
          <w:tab w:val="left" w:pos="839"/>
        </w:tabs>
        <w:ind w:right="125"/>
        <w:rPr>
          <w:b/>
          <w:sz w:val="20"/>
        </w:rPr>
      </w:pPr>
      <w:r>
        <w:rPr>
          <w:b/>
          <w:sz w:val="20"/>
        </w:rPr>
        <w:t>NOT to discuss or reveal any questions, cases or images belonging to the exam with any outside person, including future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candidates.</w:t>
      </w:r>
    </w:p>
    <w:p w:rsidR="009934DB" w:rsidRDefault="00231823">
      <w:pPr>
        <w:pStyle w:val="Paragraphedeliste"/>
        <w:numPr>
          <w:ilvl w:val="1"/>
          <w:numId w:val="1"/>
        </w:numPr>
        <w:tabs>
          <w:tab w:val="left" w:pos="697"/>
          <w:tab w:val="left" w:pos="698"/>
        </w:tabs>
        <w:ind w:left="697" w:right="112" w:hanging="579"/>
      </w:pPr>
      <w:r>
        <w:t>Any breach of this agreement will be reported to the ECVCP Board who is entitled to take the pertinent disciplinary</w:t>
      </w:r>
      <w:r>
        <w:rPr>
          <w:spacing w:val="-10"/>
        </w:rPr>
        <w:t xml:space="preserve"> </w:t>
      </w:r>
      <w:r>
        <w:t>actions.</w:t>
      </w:r>
    </w:p>
    <w:p w:rsidR="009934DB" w:rsidRDefault="009934DB">
      <w:pPr>
        <w:pStyle w:val="Corpsdetexte"/>
        <w:spacing w:before="2"/>
      </w:pPr>
    </w:p>
    <w:p w:rsidR="009934DB" w:rsidRDefault="00231823">
      <w:pPr>
        <w:pStyle w:val="Paragraphedeliste"/>
        <w:numPr>
          <w:ilvl w:val="0"/>
          <w:numId w:val="1"/>
        </w:numPr>
        <w:tabs>
          <w:tab w:val="left" w:pos="550"/>
          <w:tab w:val="left" w:pos="551"/>
        </w:tabs>
        <w:spacing w:line="234" w:lineRule="exact"/>
        <w:rPr>
          <w:rFonts w:ascii="Cambria"/>
          <w:b/>
          <w:sz w:val="20"/>
        </w:rPr>
      </w:pPr>
      <w:r>
        <w:rPr>
          <w:rFonts w:ascii="Cambria"/>
          <w:b/>
          <w:color w:val="365F91"/>
          <w:sz w:val="20"/>
        </w:rPr>
        <w:t>EXEMPTIONS FROM</w:t>
      </w:r>
      <w:r>
        <w:rPr>
          <w:rFonts w:ascii="Cambria"/>
          <w:b/>
          <w:color w:val="365F91"/>
          <w:spacing w:val="-17"/>
          <w:sz w:val="20"/>
        </w:rPr>
        <w:t xml:space="preserve"> </w:t>
      </w:r>
      <w:r>
        <w:rPr>
          <w:rFonts w:ascii="Cambria"/>
          <w:b/>
          <w:color w:val="365F91"/>
          <w:sz w:val="20"/>
        </w:rPr>
        <w:t>CONFIDENTIALITY</w:t>
      </w:r>
    </w:p>
    <w:p w:rsidR="009934DB" w:rsidRDefault="00231823">
      <w:pPr>
        <w:pStyle w:val="Paragraphedeliste"/>
        <w:numPr>
          <w:ilvl w:val="1"/>
          <w:numId w:val="1"/>
        </w:numPr>
        <w:tabs>
          <w:tab w:val="left" w:pos="694"/>
          <w:tab w:val="left" w:pos="695"/>
        </w:tabs>
        <w:ind w:right="111"/>
      </w:pPr>
      <w:r>
        <w:t xml:space="preserve">The obligations to keep secret shall not apply in the event that the respective </w:t>
      </w:r>
      <w:r>
        <w:rPr>
          <w:i/>
        </w:rPr>
        <w:t xml:space="preserve">Information </w:t>
      </w:r>
      <w:r>
        <w:t>or such parts</w:t>
      </w:r>
      <w:r>
        <w:rPr>
          <w:spacing w:val="-9"/>
        </w:rPr>
        <w:t xml:space="preserve"> </w:t>
      </w:r>
      <w:r>
        <w:t>thereof:</w:t>
      </w:r>
    </w:p>
    <w:p w:rsidR="009934DB" w:rsidRDefault="00231823">
      <w:pPr>
        <w:pStyle w:val="Paragraphedeliste"/>
        <w:numPr>
          <w:ilvl w:val="2"/>
          <w:numId w:val="1"/>
        </w:numPr>
        <w:tabs>
          <w:tab w:val="left" w:pos="838"/>
          <w:tab w:val="left" w:pos="839"/>
        </w:tabs>
        <w:spacing w:before="4"/>
        <w:ind w:right="119"/>
        <w:rPr>
          <w:sz w:val="20"/>
        </w:rPr>
      </w:pPr>
      <w:r>
        <w:rPr>
          <w:sz w:val="20"/>
        </w:rPr>
        <w:t>can be shown by written documentation to have been known to The Contributor prior to disclosure by The ECVCP;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</w:p>
    <w:p w:rsidR="009934DB" w:rsidRDefault="00231823">
      <w:pPr>
        <w:pStyle w:val="Paragraphedeliste"/>
        <w:numPr>
          <w:ilvl w:val="2"/>
          <w:numId w:val="1"/>
        </w:numPr>
        <w:tabs>
          <w:tab w:val="left" w:pos="838"/>
          <w:tab w:val="left" w:pos="839"/>
        </w:tabs>
        <w:spacing w:line="242" w:lineRule="exact"/>
        <w:rPr>
          <w:sz w:val="20"/>
        </w:rPr>
      </w:pPr>
      <w:r>
        <w:rPr>
          <w:sz w:val="20"/>
        </w:rPr>
        <w:t>comes into the public domain by publication or otherwise through no breach of this Agreement;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</w:p>
    <w:p w:rsidR="009934DB" w:rsidRDefault="00231823">
      <w:pPr>
        <w:pStyle w:val="Paragraphedeliste"/>
        <w:numPr>
          <w:ilvl w:val="2"/>
          <w:numId w:val="1"/>
        </w:numPr>
        <w:tabs>
          <w:tab w:val="left" w:pos="839"/>
        </w:tabs>
        <w:ind w:right="113"/>
        <w:jc w:val="both"/>
        <w:rPr>
          <w:sz w:val="20"/>
        </w:rPr>
      </w:pPr>
      <w:r>
        <w:rPr>
          <w:sz w:val="20"/>
        </w:rPr>
        <w:t>can be shown by written documentation to have been made known to The Contributor from another source</w:t>
      </w:r>
      <w:r>
        <w:rPr>
          <w:spacing w:val="-8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obligation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obtained</w:t>
      </w:r>
      <w:r>
        <w:rPr>
          <w:spacing w:val="-7"/>
          <w:sz w:val="20"/>
        </w:rPr>
        <w:t xml:space="preserve"> </w:t>
      </w:r>
      <w:r>
        <w:rPr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z w:val="20"/>
        </w:rPr>
        <w:t>directly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indirectly</w:t>
      </w:r>
      <w:r>
        <w:rPr>
          <w:spacing w:val="-6"/>
          <w:sz w:val="20"/>
        </w:rPr>
        <w:t xml:space="preserve"> </w:t>
      </w:r>
      <w:r>
        <w:rPr>
          <w:sz w:val="20"/>
        </w:rPr>
        <w:t>from The</w:t>
      </w:r>
      <w:r>
        <w:rPr>
          <w:spacing w:val="-11"/>
          <w:sz w:val="20"/>
        </w:rPr>
        <w:t xml:space="preserve"> </w:t>
      </w:r>
      <w:r>
        <w:rPr>
          <w:sz w:val="20"/>
        </w:rPr>
        <w:t>ECVCP.</w:t>
      </w:r>
    </w:p>
    <w:p w:rsidR="009934DB" w:rsidRDefault="009934DB">
      <w:pPr>
        <w:pStyle w:val="Corpsdetexte"/>
      </w:pPr>
    </w:p>
    <w:p w:rsidR="009934DB" w:rsidRDefault="009934DB">
      <w:pPr>
        <w:pStyle w:val="Corpsdetexte"/>
        <w:rPr>
          <w:sz w:val="20"/>
        </w:rPr>
      </w:pPr>
    </w:p>
    <w:p w:rsidR="009934DB" w:rsidRDefault="00231823">
      <w:pPr>
        <w:tabs>
          <w:tab w:val="left" w:pos="5082"/>
        </w:tabs>
        <w:spacing w:before="1"/>
        <w:ind w:left="118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ECVCP</w:t>
      </w:r>
      <w:r>
        <w:rPr>
          <w:b/>
          <w:i/>
        </w:rPr>
        <w:tab/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Contributor</w:t>
      </w:r>
    </w:p>
    <w:p w:rsidR="009934DB" w:rsidRDefault="00231823">
      <w:pPr>
        <w:pStyle w:val="Corpsdetexte"/>
        <w:tabs>
          <w:tab w:val="left" w:pos="5790"/>
        </w:tabs>
        <w:ind w:left="118"/>
      </w:pPr>
      <w:r>
        <w:t xml:space="preserve">Place/date:  </w:t>
      </w:r>
      <w:r>
        <w:tab/>
        <w:t>Place/date:</w:t>
      </w:r>
    </w:p>
    <w:p w:rsidR="009934DB" w:rsidRDefault="009934DB">
      <w:pPr>
        <w:pStyle w:val="Corpsdetexte"/>
        <w:spacing w:before="5"/>
        <w:rPr>
          <w:sz w:val="15"/>
        </w:rPr>
      </w:pPr>
    </w:p>
    <w:p w:rsidR="009934DB" w:rsidRDefault="009934DB">
      <w:pPr>
        <w:rPr>
          <w:sz w:val="15"/>
        </w:rPr>
        <w:sectPr w:rsidR="009934DB">
          <w:type w:val="continuous"/>
          <w:pgSz w:w="11920" w:h="16840"/>
          <w:pgMar w:top="620" w:right="1300" w:bottom="280" w:left="1300" w:header="720" w:footer="720" w:gutter="0"/>
          <w:cols w:space="720"/>
        </w:sectPr>
      </w:pPr>
    </w:p>
    <w:p w:rsidR="009934DB" w:rsidRDefault="00231823">
      <w:pPr>
        <w:pStyle w:val="Corpsdetexte"/>
        <w:tabs>
          <w:tab w:val="left" w:pos="4121"/>
        </w:tabs>
        <w:spacing w:before="57" w:line="267" w:lineRule="exact"/>
        <w:ind w:left="118"/>
      </w:pPr>
      <w:r>
        <w:t xml:space="preserve">Signature: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4DB" w:rsidRDefault="009934DB">
      <w:pPr>
        <w:pStyle w:val="Corpsdetexte"/>
        <w:spacing w:line="267" w:lineRule="exact"/>
        <w:ind w:left="2279"/>
      </w:pPr>
    </w:p>
    <w:p w:rsidR="009934DB" w:rsidRDefault="00231823">
      <w:pPr>
        <w:pStyle w:val="Corpsdetexte"/>
        <w:tabs>
          <w:tab w:val="left" w:pos="4121"/>
        </w:tabs>
        <w:spacing w:before="57"/>
        <w:ind w:left="118"/>
      </w:pPr>
      <w:r>
        <w:br w:type="column"/>
      </w:r>
      <w:r>
        <w:t xml:space="preserve">Signature: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4DB" w:rsidRDefault="009934DB">
      <w:pPr>
        <w:sectPr w:rsidR="009934DB">
          <w:type w:val="continuous"/>
          <w:pgSz w:w="11920" w:h="16840"/>
          <w:pgMar w:top="620" w:right="1300" w:bottom="280" w:left="1300" w:header="720" w:footer="720" w:gutter="0"/>
          <w:cols w:num="2" w:space="720" w:equalWidth="0">
            <w:col w:w="4122" w:space="842"/>
            <w:col w:w="4356"/>
          </w:cols>
        </w:sectPr>
      </w:pPr>
    </w:p>
    <w:p w:rsidR="009934DB" w:rsidRDefault="009934DB">
      <w:pPr>
        <w:pStyle w:val="Corpsdetexte"/>
        <w:spacing w:before="11"/>
        <w:rPr>
          <w:sz w:val="10"/>
        </w:rPr>
      </w:pPr>
    </w:p>
    <w:p w:rsidR="009934DB" w:rsidRDefault="00231823">
      <w:pPr>
        <w:spacing w:before="68"/>
        <w:ind w:right="112"/>
        <w:jc w:val="right"/>
        <w:rPr>
          <w:sz w:val="16"/>
        </w:rPr>
      </w:pPr>
      <w:r>
        <w:rPr>
          <w:sz w:val="16"/>
        </w:rPr>
        <w:t>Page 1 of 1</w:t>
      </w:r>
    </w:p>
    <w:sectPr w:rsidR="009934DB">
      <w:type w:val="continuous"/>
      <w:pgSz w:w="1192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16DB"/>
    <w:multiLevelType w:val="multilevel"/>
    <w:tmpl w:val="E84069F2"/>
    <w:lvl w:ilvl="0">
      <w:start w:val="1"/>
      <w:numFmt w:val="decimal"/>
      <w:lvlText w:val="%1"/>
      <w:lvlJc w:val="left"/>
      <w:pPr>
        <w:ind w:left="550" w:hanging="432"/>
        <w:jc w:val="left"/>
      </w:pPr>
      <w:rPr>
        <w:rFonts w:ascii="Cambria" w:eastAsia="Cambria" w:hAnsi="Cambria" w:cs="Cambria" w:hint="default"/>
        <w:b/>
        <w:bCs/>
        <w:color w:val="365F9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94" w:hanging="5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hint="default"/>
        <w:w w:val="99"/>
      </w:rPr>
    </w:lvl>
    <w:lvl w:ilvl="3">
      <w:numFmt w:val="bullet"/>
      <w:lvlText w:val="•"/>
      <w:lvlJc w:val="left"/>
      <w:pPr>
        <w:ind w:left="1899" w:hanging="720"/>
      </w:pPr>
      <w:rPr>
        <w:rFonts w:hint="default"/>
      </w:rPr>
    </w:lvl>
    <w:lvl w:ilvl="4">
      <w:numFmt w:val="bullet"/>
      <w:lvlText w:val="•"/>
      <w:lvlJc w:val="left"/>
      <w:pPr>
        <w:ind w:left="2958" w:hanging="720"/>
      </w:pPr>
      <w:rPr>
        <w:rFonts w:hint="default"/>
      </w:rPr>
    </w:lvl>
    <w:lvl w:ilvl="5">
      <w:numFmt w:val="bullet"/>
      <w:lvlText w:val="•"/>
      <w:lvlJc w:val="left"/>
      <w:pPr>
        <w:ind w:left="4017" w:hanging="720"/>
      </w:pPr>
      <w:rPr>
        <w:rFonts w:hint="default"/>
      </w:rPr>
    </w:lvl>
    <w:lvl w:ilvl="6">
      <w:numFmt w:val="bullet"/>
      <w:lvlText w:val="•"/>
      <w:lvlJc w:val="left"/>
      <w:pPr>
        <w:ind w:left="5076" w:hanging="720"/>
      </w:pPr>
      <w:rPr>
        <w:rFonts w:hint="default"/>
      </w:rPr>
    </w:lvl>
    <w:lvl w:ilvl="7">
      <w:numFmt w:val="bullet"/>
      <w:lvlText w:val="•"/>
      <w:lvlJc w:val="left"/>
      <w:pPr>
        <w:ind w:left="6136" w:hanging="720"/>
      </w:pPr>
      <w:rPr>
        <w:rFonts w:hint="default"/>
      </w:rPr>
    </w:lvl>
    <w:lvl w:ilvl="8">
      <w:numFmt w:val="bullet"/>
      <w:lvlText w:val="•"/>
      <w:lvlJc w:val="left"/>
      <w:pPr>
        <w:ind w:left="719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DB"/>
    <w:rsid w:val="00231823"/>
    <w:rsid w:val="009934DB"/>
    <w:rsid w:val="00E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216D-72E3-4553-A006-F403CA6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694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Vétérinaire de Toulouse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Trumel</dc:creator>
  <cp:lastModifiedBy>Catherine Trumel</cp:lastModifiedBy>
  <cp:revision>2</cp:revision>
  <dcterms:created xsi:type="dcterms:W3CDTF">2022-08-23T14:13:00Z</dcterms:created>
  <dcterms:modified xsi:type="dcterms:W3CDTF">2022-08-23T14:13:00Z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